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SächsLVO (Sachsen) — Laufbahnwechsel nach Qualifizierungsmaßnahmen oder Wahrnehmung vergleichbarer Tätigkeiten</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Bestimmung von Art, Umfang und Inhalt der Qualifizierung nach § 22 Absatz 2 Satz 1 Nummer 1 des Sächsischen Beamtengesetzes sind die Ausbildung, sonstige Qualifizierungen und die bisherigen beruflichen Tätigkeiten der Beamtin oder des Beamten zu berücksichtigen.</w:t>
      </w:r>
    </w:p>
    <w:p>
      <w:r>
        <w:t xml:space="preserve">(2) Die Befähigung für die neue Laufbahn aufgrund der Wahrnehmung vergleichbarer Tätigkeiten nach § 22 Absatz 2 Satz 1 Nummer 2 des Sächsischen Beamtengesetzes darf nur anerkannt werden, wenn diese über einen Zeitraum ausgeübt wurden, der der für die Einstiegsebene vorgesehenen Dauer des Vorbereitungsdienstes entspricht und den Schwerpunkt der Tätigkeit dargestellt haben.</w:t>
      </w:r>
    </w:p>
    <w:p>
      <w:r>
        <w:rPr>
          <w:color w:val="555555"/>
          <w:sz w:val="17"/>
        </w:rPr>
        <w:t xml:space="preserve">Zitiervorschlag: § 25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