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SächsLVO (Sachsen) — Ämterdurchlauf</w:t>
      </w:r>
    </w:p>
    <w:p>
      <w:r>
        <w:rPr>
          <w:color w:val="555555"/>
          <w:sz w:val="18"/>
        </w:rPr>
        <w:t xml:space="preserve">Sächsische Laufbahnverordnung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Regelmäßig zu durchlaufen sind die Ämter der Besoldungsordnung A des Sächsischen Besoldungsgesetzes . Dies gilt nicht</w:t>
      </w:r>
    </w:p>
    <w:p>
      <w:r>
        <w:t xml:space="preserve">1. bei Sprungbeförderungen (§ 27 Absatz 5 Satz 2 und 5 des Sächsischen Beamtengesetzes ),</w:t>
      </w:r>
    </w:p>
    <w:p>
      <w:r>
        <w:t xml:space="preserve">2. bei erfolgreichem Abschluss der für die Fachrichtung Polizei bestimmten Qualifizierung nach § 27 Absatz 2 Satz 1 des Sächsischen Beamtengesetzes und Übertragung eines Amtes der Besoldungsgruppe A 13 der Fachrichtung Polizei, wenn sich die Beamtin oder der Beamte in einem Amt der ersten Einstiegsebene der Laufbahngruppe 2 befindet,</w:t>
      </w:r>
    </w:p>
    <w:p>
      <w:r>
        <w:t xml:space="preserve">3. beim Laufbahnwechsel für Ämter in Besoldungsgruppen, die in der bisherigen Laufbahn bereits durchlaufen wurden,</w:t>
      </w:r>
    </w:p>
    <w:p>
      <w:r>
        <w:t xml:space="preserve">4. beim Aufstieg für die noch nicht durchlaufenen Ämter der bisherigen Laufbahn.</w:t>
      </w:r>
    </w:p>
    <w:p>
      <w:r>
        <w:rPr>
          <w:color w:val="555555"/>
          <w:sz w:val="17"/>
        </w:rPr>
        <w:t xml:space="preserve">Zitiervorschlag: § 21 SächsLVO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