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SächsLVO (Sachsen) — Nachteilsausgleich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Mindestdienstzeit gemäß § 19 Absatz 4 wird bis zu einer Gesamtdauer von drei Jahren auch erfüllt durch Zeiten</w:t>
      </w:r>
    </w:p>
    <w:p>
      <w:r>
        <w:t xml:space="preserve">1. im Sinne von § 12 Absatz 1 des Sächsischen Beamtengesetzes , in denen die Beamtin oder der Beamte keine Dienstbezüge erhält,</w:t>
      </w:r>
    </w:p>
    <w:p>
      <w:r>
        <w:t xml:space="preserve">2. einer Beurlaubung ohne Dienstbezüge, wenn diese überwiegend dienstlichen Interessen oder öffentlichen Belangen dient, insbesondere zur Ausübung einer Tätigkeit</w:t>
      </w:r>
    </w:p>
    <w:p>
      <w:r>
        <w:t xml:space="preserve">a)</w:t>
      </w:r>
    </w:p>
    <w:p>
      <w:r>
        <w:t xml:space="preserve">als parlamentarischer Berater, parlamentarische Beraterin, wissenschaftlicher Assistent, wissenschaftliche Assistentin, Geschäftsführerin oder Geschäftsführer bei Fraktionen des Europäischen Parlaments, des Deutschen Bundestages oder eines Landesparlaments,</w:t>
      </w:r>
    </w:p>
    <w:p>
      <w:r>
        <w:t xml:space="preserve">b)</w:t>
      </w:r>
    </w:p>
    <w:p>
      <w:r>
        <w:t xml:space="preserve">in öffentlichen zwischenstaatlichen oder überstaatlichen Organisationen,</w:t>
      </w:r>
    </w:p>
    <w:p>
      <w:r>
        <w:t xml:space="preserve">c)</w:t>
      </w:r>
    </w:p>
    <w:p>
      <w:r>
        <w:t xml:space="preserve">in der Entwicklungshilfe.</w:t>
      </w:r>
    </w:p>
    <w:p>
      <w:r>
        <w:rPr>
          <w:color w:val="555555"/>
          <w:sz w:val="17"/>
        </w:rPr>
        <w:t xml:space="preserve">Zitiervorschlag: § 20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