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SächsLVO (Sachsen) — Geltungsbereich</w:t>
      </w:r>
    </w:p>
    <w:p>
      <w:r>
        <w:rPr>
          <w:color w:val="555555"/>
          <w:sz w:val="18"/>
        </w:rPr>
        <w:t xml:space="preserve">Sächsische Laufbahnverordnung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gilt für die Staatsbeamtinnen und Staatsbeamten sowie die Beamtinnen und Beamten der Gemeinden, Landkreise und sonstigen der Aufsicht des Freistaates Sachsen unterstehenden Körperschaften, Anstalten und Stiftungen des öffentlichen Rechts.</w:t>
      </w:r>
    </w:p>
    <w:p>
      <w:r>
        <w:t xml:space="preserve">(2) Die Vorschriften dieser Verordnung gelten für Richterinnen, Richter, Staatsanwältinnen und Staatsanwälte des Freistaates Sachsen insoweit, als sich aus den für sie geltenden speziellen Bestimmungen nichts anderes ergibt.</w:t>
      </w:r>
    </w:p>
    <w:p>
      <w:r>
        <w:t xml:space="preserve">(3) Diese Verordnung gilt nicht für</w:t>
      </w:r>
    </w:p>
    <w:p>
      <w:r>
        <w:t xml:space="preserve">1. Beamtinnen und Beamte auf Zeit (§ 5 des Sächsischen Beamtengesetzes ),</w:t>
      </w:r>
    </w:p>
    <w:p>
      <w:r>
        <w:t xml:space="preserve">2. Ehrenbeamtinnen und Ehrenbeamte (§ 6 des Sächsischen Beamtengesetzes ),</w:t>
      </w:r>
    </w:p>
    <w:p>
      <w:r>
        <w:t xml:space="preserve">3. Kommunale Wahlbeamtinnen und Wahlbeamte (§ 145 des Sächsischen Beamtengesetzes ),</w:t>
      </w:r>
    </w:p>
    <w:p>
      <w:r>
        <w:t xml:space="preserve">4. Professorinnen und Professoren an Universitäten, Fachhochschulen – Hochschulen für angewandte Wissenschaften sowie an Kunsthochschulen und</w:t>
      </w:r>
    </w:p>
    <w:p>
      <w:r>
        <w:t xml:space="preserve">5. Beamtinnen und Beamte, soweit abweichende Laufbahn- oder Ausbildungsvorschriften bestehen.</w:t>
      </w:r>
    </w:p>
    <w:p>
      <w:r>
        <w:rPr>
          <w:color w:val="555555"/>
          <w:sz w:val="17"/>
        </w:rPr>
        <w:t xml:space="preserve">Zitiervorschlag: § 1 SächsLVO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