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SächsLStipVO (Sachsen)</w:t>
      </w:r>
    </w:p>
    <w:p>
      <w:r>
        <w:rPr>
          <w:color w:val="555555"/>
          <w:sz w:val="18"/>
        </w:rPr>
        <w:t xml:space="preserve">Sächsische Landesstipendienverordnung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des § 44 Satz 2 Nummer 1, 2 und 5 des Sächsischen Hochschulgesetzes vom 31. Mai 2023 (SächsGVBl. S. 329) verordnet das Staatsministerium für Wissenschaft, Kultur und Tourismus im Einvernehmen mit dem Staatsministerium der Finanzen:</w:t>
      </w:r>
    </w:p>
    <w:p>
      <w:r>
        <w:rPr>
          <w:color w:val="555555"/>
          <w:sz w:val="17"/>
        </w:rPr>
        <w:t xml:space="preserve">Zitiervorschlag: Eingangsformel SächsLStipVO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https://recht.nulegal.eu/gesetze/S%C3%A4chsLStipVO/eingangsformel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