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SächsLSchiedRehaVO (Sachsen)</w:t>
      </w:r>
    </w:p>
    <w:p>
      <w:r>
        <w:rPr>
          <w:color w:val="555555"/>
          <w:sz w:val="18"/>
        </w:rPr>
        <w:t xml:space="preserve">Sächsische Landesschiedsstellenverordnung Rehabilitation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Aufgrund von § 111b Absatz 5 Satz 1 des Fünften Buches Sozialgesetzbuch – Gesetzliche Krankenversicherung – (Artikel 1 des Gesetzes vom 20. Dezember 1988, BGBl. I S. 2477, 2482), das zuletzt durch Artikel 5 des Gesetzes vom 23. Dezember 2014 (BGBl. I S. 2462) geändert worden ist, in Verbindung mit § 4 Absatz 2 des Sächsischen Gesetzes zur Ausführung des Sozialgesetzbuches vom 6. Juni 2002 (SächsGVBl. S. 168), das zuletzt durch Gesetz vom 2. April 2014 (SächsGVBl. S. 230) geändert worden ist, wird verordnet:</w:t>
      </w:r>
    </w:p>
    <w:p>
      <w:r>
        <w:rPr>
          <w:color w:val="555555"/>
          <w:sz w:val="17"/>
        </w:rPr>
        <w:t xml:space="preserve">Zitiervorschlag: Eingangsformel SächsLSchiedRehaVO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https://recht.nulegal.eu/gesetze/S%C3%A4chsLSchiedRehaVO/eingangsformel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