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SächsLPlG (Sachsen) — Planerhaltung</w:t>
      </w:r>
    </w:p>
    <w:p>
      <w:r>
        <w:rPr>
          <w:color w:val="555555"/>
          <w:sz w:val="18"/>
        </w:rPr>
        <w:t xml:space="preserve">Landesplanungsgesetz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Stelle im Sinne des § 11 Absatz 5 Satz 1 des Raumordnungsgesetzes ist der für die Aufstellung des Raumordnungsplans zuständige Planungsträger. Die Verletzung von Verfahrens- und Formvorschriften ist schriftlich geltend zu machen.</w:t>
      </w:r>
    </w:p>
    <w:p>
      <w:r>
        <w:rPr>
          <w:color w:val="555555"/>
          <w:sz w:val="17"/>
        </w:rPr>
        <w:t xml:space="preserve">Zitiervorschlag: § 8 SächsLPlG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https://recht.nulegal.eu/gesetze/S%C3%A4chsLPlG/8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