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SächsLPlG (Sachsen) — Allgemeine Vorschriften über Raumordnungspläne</w:t>
      </w:r>
    </w:p>
    <w:p>
      <w:r>
        <w:rPr>
          <w:color w:val="555555"/>
          <w:sz w:val="18"/>
        </w:rPr>
        <w:t xml:space="preserve">Landesplanungsgesetz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Festlegung von Eignungsgebieten darf nur in Verbindung mit der Festlegung von Vorranggebieten zugunsten der betreffenden Nutzung erfolgen.</w:t>
      </w:r>
    </w:p>
    <w:p>
      <w:r>
        <w:t xml:space="preserve">(2) Die Umweltprüfung umfasst auch die Prüfung der Verträglichkeit mit den Erhaltungszielen eines Gebiets von gemeinschaftlicher Bedeutung oder eines Europäischen Vogelschutzgebietes nach § 36 des Bundesnaturschutzgesetzes vom 29. Juli 2009 (BGBl. I S. 2542), das zuletzt durch Artikel 1 des Gesetzes vom 15. September 2017 (BGBl. I S. 3434) geändert worden ist, in der jeweils geltenden Fassung.</w:t>
      </w:r>
    </w:p>
    <w:p>
      <w:r>
        <w:rPr>
          <w:color w:val="555555"/>
          <w:sz w:val="17"/>
        </w:rPr>
        <w:t xml:space="preserve">Zitiervorschlag: § 2 SächsLPlG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https://recht.nulegal.eu/gesetze/S%C3%A4chsLPlG/2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