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SächsLPlG (Sachsen) — Raumordnung im Freistaat Sachsen, Grundsatz der Raumordnung zum Hochwasserschutz</w:t>
      </w:r>
    </w:p>
    <w:p>
      <w:r>
        <w:rPr>
          <w:color w:val="555555"/>
          <w:sz w:val="18"/>
        </w:rPr>
        <w:t xml:space="preserve">Landesplanungsgesetz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regelt Ergänzungen zum und Abweichungen vom Raumordnungsgesetz vom 22. Dezember 2008 (BGBl. I S. 2986), das zuletzt durch Artikel 2 Absatz 15 des Gesetzes vom 20. Juli 2017 (BGBl. I S. 2808) geändert worden ist, in der jeweils geltenden Fassung, für die Raumordnung im Freistaat Sachsen.</w:t>
      </w:r>
    </w:p>
    <w:p>
      <w:r>
        <w:t xml:space="preserve">(2) Der Gesamtraum des Freistaates Sachsen und seine Teilräume einschließlich des Untergrunds sind im Sinne der Leitvorstellung einer nachhaltigen Raumentwicklung nach § 1 Absatz 2 des Raumordnungsgesetzes durch zusammenfassende, überörtliche und fachübergreifende Raumordnungspläne einschließlich ihrer Verwirklichung sowie durch Abstimmung raumbedeutsamer Planungen und Maßnahmen zu entwickeln, zu ordnen und zu sichern.</w:t>
      </w:r>
    </w:p>
    <w:p>
      <w:r>
        <w:t xml:space="preserve">(3) Bei raumbedeutsamen Planungen und Maßnahmen sind Belange des vorbeugenden Hochwasserschutzes zu berücksichtigen.</w:t>
      </w:r>
    </w:p>
    <w:p>
      <w:r>
        <w:rPr>
          <w:color w:val="555555"/>
          <w:sz w:val="17"/>
        </w:rPr>
        <w:t xml:space="preserve">Zitiervorschlag: § 1 SächsLPlG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https://recht.nulegal.eu/gesetze/S%C3%A4chsLPlG/1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SächsLPlG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