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SächsKurG (Sachsen) — Artbezeichnungen</w:t>
      </w:r>
    </w:p>
    <w:p>
      <w:r>
        <w:rPr>
          <w:color w:val="555555"/>
          <w:sz w:val="18"/>
        </w:rPr>
        <w:t xml:space="preserve">Sächsisches Kurortegesetz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der Anerkennung von Kurorten sowie von Erholungsorten werden die folgenden Artbezeichnungen mit dem Zusatz „staatlich anerkannt“ verliehen:</w:t>
      </w:r>
    </w:p>
    <w:p>
      <w:r>
        <w:t xml:space="preserve">1. Heilbad oder Mineral-, Thermal-, Sole-, Peloid- oder Moorheilbad,</w:t>
      </w:r>
    </w:p>
    <w:p>
      <w:r>
        <w:t xml:space="preserve">2. Ort mit Heilquellen-, Sole-, Peloid-, Moor- oder Heilstollenkurbetrieb,</w:t>
      </w:r>
    </w:p>
    <w:p>
      <w:r>
        <w:t xml:space="preserve">3. Kneippheilbad,</w:t>
      </w:r>
    </w:p>
    <w:p>
      <w:r>
        <w:t xml:space="preserve">4. Kneippkurort,</w:t>
      </w:r>
    </w:p>
    <w:p>
      <w:r>
        <w:t xml:space="preserve">5. Heilklimatischer Kurort,</w:t>
      </w:r>
    </w:p>
    <w:p>
      <w:r>
        <w:t xml:space="preserve">6. Luftkurort,</w:t>
      </w:r>
    </w:p>
    <w:p>
      <w:r>
        <w:t xml:space="preserve">7. Erholungsort.</w:t>
      </w:r>
    </w:p>
    <w:p>
      <w:r>
        <w:t xml:space="preserve">(2) Bei der Verleihung der Artbezeichnungen nach Absatz 1 Nr. 1 bis 6 sind die Hauptheilanzeigen und Gegenanzeigen nach balneologisch-kurmedizinischen Grundsätzen aufzuführen.</w:t>
      </w:r>
    </w:p>
    <w:p>
      <w:r>
        <w:rPr>
          <w:color w:val="555555"/>
          <w:sz w:val="17"/>
        </w:rPr>
        <w:t xml:space="preserve">Zitiervorschlag: § 2 SächsKurG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https://recht.nulegal.eu/gesetze/S%C3%A4chsKurG/2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SächsKurG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