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SächsKontrollG (Sachsen) — In-Kraft-Treten</w:t>
      </w:r>
    </w:p>
    <w:p>
      <w:r>
        <w:rPr>
          <w:color w:val="555555"/>
          <w:sz w:val="18"/>
        </w:rPr>
        <w:t xml:space="preserve">Sächsisches Kontrollgesetz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Tage nach seiner Verkündung in Kraft.</w:t>
      </w:r>
    </w:p>
    <w:p>
      <w:r>
        <w:t xml:space="preserve">Das vorstehende Gesetz wird hiermit ausgefertigt und ist zu verkünden.</w:t>
      </w:r>
    </w:p>
    <w:p>
      <w:r>
        <w:t xml:space="preserve">Dresden, den 22. April 2003</w:t>
      </w:r>
    </w:p>
    <w:p>
      <w:r>
        <w:t xml:space="preserve">Der Landtagspräsident</w:t>
      </w:r>
    </w:p>
    <w:p>
      <w:r>
        <w:t xml:space="preserve">Erich Iltgen</w:t>
      </w:r>
    </w:p>
    <w:p>
      <w:r>
        <w:t xml:space="preserve">Der Ministerpräsident</w:t>
      </w:r>
    </w:p>
    <w:p>
      <w:r>
        <w:t xml:space="preserve">Prof. Dr. Georg Milbradt</w:t>
      </w:r>
    </w:p>
    <w:p>
      <w:r>
        <w:t xml:space="preserve">Der Staatsminister des Innern</w:t>
      </w:r>
    </w:p>
    <w:p>
      <w:r>
        <w:t xml:space="preserve">Horst Rasch</w:t>
      </w:r>
    </w:p>
    <w:p>
      <w:r>
        <w:t xml:space="preserve">Der Staatsminister der Justiz</w:t>
      </w:r>
    </w:p>
    <w:p>
      <w:r>
        <w:t xml:space="preserve">Dr. Thomas de Maizière</w:t>
      </w:r>
    </w:p>
    <w:p>
      <w:r>
        <w:rPr>
          <w:color w:val="555555"/>
          <w:sz w:val="17"/>
        </w:rPr>
        <w:t xml:space="preserve">Zitiervorschlag: § 7 SächsKontrollG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https://recht.nulegal.eu/gesetze/S%C3%A4chsKontrollG/7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