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SächsKontrollG (Sachsen) — Übergangsvorschrift</w:t>
      </w:r>
    </w:p>
    <w:p>
      <w:r>
        <w:rPr>
          <w:color w:val="555555"/>
          <w:sz w:val="18"/>
        </w:rPr>
        <w:t xml:space="preserve">Sächsisches Kontrollgesetz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Parlamentarische Kontrollgremium wird abweichend von § 3 Abs. 1 erstmalig unmittelbar nach dem In-Kraft-Treten dieses Gesetzes für die Dauer der laufenden Wahlperiode gewählt.</w:t>
      </w:r>
    </w:p>
    <w:p>
      <w:r>
        <w:rPr>
          <w:color w:val="555555"/>
          <w:sz w:val="17"/>
        </w:rPr>
        <w:t xml:space="preserve">Zitiervorschlag: § 6 SächsKontrollG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https://recht.nulegal.eu/gesetze/S%C3%A4chsKontrollG/6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