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SächsKontrollG (Sachsen) — Ausscheiden aus dem Parlamentarischen Kontrollgremium</w:t>
      </w:r>
    </w:p>
    <w:p>
      <w:r>
        <w:rPr>
          <w:color w:val="555555"/>
          <w:sz w:val="18"/>
        </w:rPr>
        <w:t xml:space="preserve">Sächsisches Kontrollgesetz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Scheidet ein Mitglied aus dem Landtag oder seiner Fraktion aus, endet auch seine Mitgliedschaft in dem Parlamentarischen Kontrollgremium. Für ein ausgeschiedenes Mitglied ist unverzüglich ein neues Mitglied zu wählen.</w:t>
      </w:r>
    </w:p>
    <w:p>
      <w:r>
        <w:rPr>
          <w:color w:val="555555"/>
          <w:sz w:val="17"/>
        </w:rPr>
        <w:t xml:space="preserve">Zitiervorschlag: § 5 SächsKontrollG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https://recht.nulegal.eu/gesetze/S%C3%A4chsKontrollG/5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SächsKontrollG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