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SächsKomZG (Sachsen) — Wegfall von Verbandsmitgliedern</w:t>
      </w:r>
    </w:p>
    <w:p>
      <w:r>
        <w:rPr>
          <w:color w:val="555555"/>
          <w:sz w:val="18"/>
        </w:rPr>
        <w:t xml:space="preserve">Sächsisches Gesetz über kommunale Zusammenarbeit</w:t>
      </w:r>
    </w:p>
    <w:p>
      <w:r>
        <w:rPr>
          <w:color w:val="555555"/>
          <w:sz w:val="18"/>
        </w:rPr>
        <w:t xml:space="preserve">Landesrecht Sachsen</w:t>
      </w:r>
    </w:p>
    <w:p>
      <w:r>
        <w:rPr>
          <w:color w:val="555555"/>
          <w:sz w:val="18"/>
        </w:rPr>
        <w:t xml:space="preserve">Stand: 26.08.2026 (konsolidierte Textfassung, kein amtliches Inkrafttretensdatum)</w:t>
      </w:r>
    </w:p>
    <w:p>
      <w:r>
        <w:t xml:space="preserve">(1) Fällt ein Verbandsmitglied weg, tritt dessen Rechtsnachfolger in die Rechtsstellung des weggefallenen Verbandsmitgliedes ein.</w:t>
      </w:r>
    </w:p>
    <w:p>
      <w:r>
        <w:t xml:space="preserve">(2) Wenn Gründe des öffentlichen Wohls nicht entgegenstehen, kann der Zweckverband binnen drei Monaten nach Wirksamwerden der Änderung den Ausschluss des Rechtsnachfolgers mit einer Mehrheit von zwei Dritteln der satzungsmäßigen Stimmenzahl beschließen; in gleicher Weise kann dieser sein Ausscheiden aus dem Zweckverband erklären. Der Beschluss über den Ausschluss des Rechtsnachfolgers und die Erklärung über sein Ausscheiden bedürfen der Genehmigung der Rechtsaufsichtsbehörde. Die Entscheidung ergeht nach pflichtgemäßem Ermessen. § 13 gilt entsprechend. Falls der Rechtsnachfolger dem Ausschluss widerspricht oder der Zweckverband dessen Verlangen auf Ausscheiden nicht entspricht, entscheidet auf Antrag eines der Beteiligten die Rechtsaufsichtsbehörde. In diesem Fall regelt die Rechtsaufsichtsbehörde auch die aus der Veränderung sich ergebenden Verhältnisse zwischen dem Zweckverband und dem ausscheidenden Mitglied.</w:t>
      </w:r>
    </w:p>
    <w:p>
      <w:r>
        <w:rPr>
          <w:color w:val="555555"/>
          <w:sz w:val="17"/>
        </w:rPr>
        <w:t xml:space="preserve">Zitiervorschlag: § 63 SächsKomZG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https://recht.nulegal.eu/gesetze/S%C3%A4chsKomZG/63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SächsKomZG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