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SächsKomZG (Sachsen) — Vollzug von Rechtsvorschriften</w:t>
      </w:r>
    </w:p>
    <w:p>
      <w:r>
        <w:rPr>
          <w:color w:val="555555"/>
          <w:sz w:val="18"/>
        </w:rPr>
        <w:t xml:space="preserve">Sächsisches Gesetz über kommunale Zusammenarbeit</w:t>
      </w:r>
    </w:p>
    <w:p>
      <w:r>
        <w:rPr>
          <w:color w:val="555555"/>
          <w:sz w:val="18"/>
        </w:rPr>
        <w:t xml:space="preserve">Landesrecht Sachsen</w:t>
      </w:r>
    </w:p>
    <w:p>
      <w:r>
        <w:rPr>
          <w:color w:val="555555"/>
          <w:sz w:val="18"/>
        </w:rPr>
        <w:t xml:space="preserve">Stand: 26.08.2026 (konsolidierte Textfassung, kein amtliches Inkrafttretensdatum)</w:t>
      </w:r>
    </w:p>
    <w:p>
      <w:r>
        <w:t xml:space="preserve">Die erfüllende Gemeinde kann im Geltungsbereich der vom Gemeinschaftsausschuss für die beteiligten Gemeinden und der von den beteiligten Gemeinden erlassenen Satzungen und Rechtsverordnungen alle zur Durchführung erforderlichen Maßnahmen wie im eigenen Gebiet treffen.</w:t>
      </w:r>
    </w:p>
    <w:p>
      <w:r>
        <w:rPr>
          <w:color w:val="555555"/>
          <w:sz w:val="17"/>
        </w:rPr>
        <w:t xml:space="preserve">Zitiervorschlag: § 39 SächsKomZG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https://recht.nulegal.eu/gesetze/S%C3%A4chsKomZG/39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