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SächsKomZG (Sachsen) — Formen der kommunalen Zusammenarbeit</w:t>
      </w:r>
    </w:p>
    <w:p>
      <w:r>
        <w:rPr>
          <w:color w:val="555555"/>
          <w:sz w:val="18"/>
        </w:rPr>
        <w:t xml:space="preserve">Sächsisches Gesetz über kommunale Zusammenarbeit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Formen der gemeinsamen Erfüllung von Aufgaben sind:</w:t>
      </w:r>
    </w:p>
    <w:p>
      <w:r>
        <w:t xml:space="preserve">1. Zweckverband, Zweckvereinbarung und kommunale Arbeitsgemeinschaft,</w:t>
      </w:r>
    </w:p>
    <w:p>
      <w:r>
        <w:t xml:space="preserve">2. Verwaltungsverband und Verwaltungsgemeinschaft, sofern diese bis zum 17. November 2012 wirksam entstanden sind.</w:t>
      </w:r>
    </w:p>
    <w:p>
      <w:r>
        <w:t xml:space="preserve">(2) Die Zulässigkeit der kommunalen Zusammenarbeit in hierfür geeigneten Rechtsformen des Privatrechts wird durch dieses Gesetz nicht berührt.</w:t>
      </w:r>
    </w:p>
    <w:p>
      <w:r>
        <w:rPr>
          <w:color w:val="555555"/>
          <w:sz w:val="17"/>
        </w:rPr>
        <w:t xml:space="preserve">Zitiervorschlag: § 2 SächsKomZG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https://recht.nulegal.eu/gesetze/S%C3%A4chsKomZG/2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