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SächsKomWO (Sachsen)</w:t>
      </w:r>
    </w:p>
    <w:p>
      <w:r>
        <w:rPr>
          <w:color w:val="555555"/>
          <w:sz w:val="18"/>
        </w:rPr>
        <w:t xml:space="preserve">Sächsische Kommunalwahlordnung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Grund des § 62 des Kommunalwahlgesetzes in der Fassung der Bekanntmachung vom 20. April 2018 (SächsGVBl. S. 298) verordnet das Staatsministerium des Innern:</w:t>
      </w:r>
    </w:p>
    <w:p>
      <w:r>
        <w:rPr>
          <w:color w:val="555555"/>
          <w:sz w:val="17"/>
        </w:rPr>
        <w:t xml:space="preserve">Zitiervorschlag: Eingangsformel SächsKomWO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https://recht.nulegal.eu/gesetze/S%C3%A4chsKomWO/eingangsformel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