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SächsKomPrüfVO (Sachsen) — Sonstige Aufgaben</w:t>
      </w:r>
    </w:p>
    <w:p>
      <w:r>
        <w:rPr>
          <w:color w:val="555555"/>
          <w:sz w:val="18"/>
        </w:rPr>
        <w:t xml:space="preserve">Sächsische Kommunalprüfungsverordnung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Prüfungen nach § 96a Absatz 1 Nummer 11 und nach § 106 Absatz 2 Satz 1 der Sächsischen Gemeindeordnung können ohne besonderen Auftrag des Gemeinderats durchgeführt werden.</w:t>
      </w:r>
    </w:p>
    <w:p>
      <w:r>
        <w:t xml:space="preserve">(2) Ist die Gemeinde an Unternehmen in einer Rechtsform des privaten Rechts beteiligt, sollen die Betätigungsprüfung nach § 106 Absatz 2 Nummer 5 der Sächsischen Gemeindeordnung und die Unternehmensprüfung nach § 96a Absatz 1 Nummer 11 der Sächsischen Gemeindeordnung nach § 6 durchgeführt werden.</w:t>
      </w:r>
    </w:p>
    <w:p>
      <w:r>
        <w:rPr>
          <w:color w:val="555555"/>
          <w:sz w:val="17"/>
        </w:rPr>
        <w:t xml:space="preserve">Zitiervorschlag: § 19 SächsKomPrüfVO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https://recht.nulegal.eu/gesetze/S%C3%A4chsKomPr%C3%BCfVO/19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SächsKomPrüfVO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