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SächsKomHVO (Sachsen)</w:t>
      </w:r>
    </w:p>
    <w:p>
      <w:r>
        <w:rPr>
          <w:color w:val="555555"/>
          <w:sz w:val="18"/>
        </w:rPr>
        <w:t xml:space="preserve">Sächsische Kommunalhaushaltsverordnung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Dezember 2013</w:t>
      </w:r>
    </w:p>
    <w:p>
      <w:r>
        <w:rPr>
          <w:color w:val="555555"/>
          <w:sz w:val="17"/>
        </w:rPr>
        <w:t xml:space="preserve">Zitiervorschlag: Eingangsformel SächsKomHVO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https://recht.nulegal.eu/gesetze/S%C3%A4chsKomHVO/eingangsformel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