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39 SächsKomHVO (Sachsen) — Wertansätze für Rechnungsabgrenzungsposten</w:t>
      </w:r>
    </w:p>
    <w:p>
      <w:r>
        <w:rPr>
          <w:color w:val="555555"/>
          <w:sz w:val="18"/>
        </w:rPr>
        <w:t xml:space="preserve">Sächsische Kommunalhaushaltsverordnung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Aktive Rechnungsabgrenzungsposten sind mit dem Nominalbetrag der vor dem Bilanzstichtag geleisteten Ausgaben, die einen Aufwand für einen bestimmten Zeitraum nach dem Bilanzstichtag betreffen, anzusetzen.</w:t>
      </w:r>
    </w:p>
    <w:p>
      <w:r>
        <w:t xml:space="preserve">(2) Passive Rechnungsabgrenzungsposten sind mit dem Nominalbetrag der vor dem Bilanzstichtag erhaltenen Einnahmen, die einen Ertrag für einen bestimmten Zeitraum nach dem Bilanzstichtag betreffen, anzusetzen.</w:t>
      </w:r>
    </w:p>
    <w:p>
      <w:r>
        <w:t xml:space="preserve">(3) Ist der Erfüllungsbetrag einer Verbindlichkeit höher als der Auszahlungsbetrag, ist der Unterschiedsbetrag (Disagio) als aktiver Rechnungsabgrenzungsposten zu erfassen. Der Unterschiedsbetrag ist durch planmäßige jährliche Abschreibungen zu tilgen, die auf die gesamte Laufzeit der Verbindlichkeit verteilt werden können.</w:t>
      </w:r>
    </w:p>
    <w:p>
      <w:r>
        <w:rPr>
          <w:color w:val="555555"/>
          <w:sz w:val="17"/>
        </w:rPr>
        <w:t xml:space="preserve">Zitiervorschlag: § 39 SächsKomHVO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https://recht.nulegal.eu/gesetze/S%C3%A4chsKomHVO/39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39 SächsKomHVO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