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SächsKomHVO (Sachsen) — Liquidität</w:t>
      </w:r>
    </w:p>
    <w:p>
      <w:r>
        <w:rPr>
          <w:color w:val="555555"/>
          <w:sz w:val="18"/>
        </w:rPr>
        <w:t xml:space="preserve">Sächsische Kommunalhaushaltsverordnung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liquiden Mittel sind, soweit sie nicht zur rechtzeitigen Leistung von Auszahlungen benötigt werden, sicher und ertragbringend anzulegen; sie müssen für ihren Zweck rechtzeitig verfügbar sein.</w:t>
      </w:r>
    </w:p>
    <w:p>
      <w:r>
        <w:t xml:space="preserve">(2) Die vorübergehende Verwendung liquider Mittel, welche für die Inanspruchnahme von langfristigen Rückstellungen benötigt werden, ist im Anhang zum Jahresabschluss darzustellen.</w:t>
      </w:r>
    </w:p>
    <w:p>
      <w:r>
        <w:rPr>
          <w:color w:val="555555"/>
          <w:sz w:val="17"/>
        </w:rPr>
        <w:t xml:space="preserve">Zitiervorschlag: § 22 SächsKomHVO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https://recht.nulegal.eu/gesetze/S%C3%A4chsKomHVO/22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SächsKomHVO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