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SächsKlimaFG (Sachsen) — Übergangsvorschrift</w:t>
      </w:r>
    </w:p>
    <w:p>
      <w:r>
        <w:rPr>
          <w:color w:val="555555"/>
          <w:sz w:val="18"/>
        </w:rPr>
        <w:t xml:space="preserve">Sächsisches Klimafondsgesetz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Fondsverwalter wird ermächtigt, alle seit dem 1. Januar 2021 im Staatshaushalt im Sinne von § 2 getätigten Einnahmen und Ausgaben in den Fonds umzubuchen.</w:t>
      </w:r>
    </w:p>
    <w:p>
      <w:r>
        <w:rPr>
          <w:color w:val="555555"/>
          <w:sz w:val="17"/>
        </w:rPr>
        <w:t xml:space="preserve">Zitiervorschlag: § 8 SächsKlimaFG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https://recht.nulegal.eu/gesetze/S%C3%A4chsKlimaFG/8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SächsKlimaFG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