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SächsKlimaFG (Sachsen) — Wirtschaftsplan</w:t>
      </w:r>
    </w:p>
    <w:p>
      <w:r>
        <w:rPr>
          <w:color w:val="555555"/>
          <w:sz w:val="18"/>
        </w:rPr>
        <w:t xml:space="preserve">Sächsisches Klimafondsgesetz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Fondsverwalter erstellt für jedes Wirtschaftsjahr einen Wirtschaftsplan. Das Wirtschaftsjahr ist das Haushaltsjahr. Der Wirtschaftsplan enthält alle im Wirtschaftsjahr zu erwartenden Einnahmen und voraussichtlich zu leistenden Ausgaben.</w:t>
      </w:r>
    </w:p>
    <w:p>
      <w:r>
        <w:t xml:space="preserve">(2) Der Wirtschaftsplan ist dem Staatshaushaltsplan für das jeweilige Haushaltsjahr als Anlage beizufügen.</w:t>
      </w:r>
    </w:p>
    <w:p>
      <w:r>
        <w:rPr>
          <w:color w:val="555555"/>
          <w:sz w:val="17"/>
        </w:rPr>
        <w:t xml:space="preserve">Zitiervorschlag: § 5 SächsKlimaFG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https://recht.nulegal.eu/gesetze/S%C3%A4chsKlimaFG/5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