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SächsKlimaFG (Sachsen) — Stellung im Rechtsverkehr</w:t>
      </w:r>
    </w:p>
    <w:p>
      <w:r>
        <w:rPr>
          <w:color w:val="555555"/>
          <w:sz w:val="18"/>
        </w:rPr>
        <w:t xml:space="preserve">Sächsisches Klimafondsgesetz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Fonds ist nicht rechtsfähig. Das Staatsministerium für Energie, Klimaschutz, Umwelt und Landwirtschaft verwaltet den Fonds (Fondsverwalter).</w:t>
      </w:r>
    </w:p>
    <w:p>
      <w:r>
        <w:rPr>
          <w:color w:val="555555"/>
          <w:sz w:val="17"/>
        </w:rPr>
        <w:t xml:space="preserve">Zitiervorschlag: § 3 SächsKlimaFG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https://recht.nulegal.eu/gesetze/S%C3%A4chsKlimaFG/3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SächsKlimaFG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