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SächsKlimaFG (Sachsen) — Errichtung des Fonds</w:t>
      </w:r>
    </w:p>
    <w:p>
      <w:r>
        <w:rPr>
          <w:color w:val="555555"/>
          <w:sz w:val="18"/>
        </w:rPr>
        <w:t xml:space="preserve">Sächsisches Klimafondsgesetz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Freistaat Sachsen errichtet ein Sondervermögen „Klimafonds Sachsen“.</w:t>
      </w:r>
    </w:p>
    <w:p>
      <w:r>
        <w:rPr>
          <w:color w:val="555555"/>
          <w:sz w:val="17"/>
        </w:rPr>
        <w:t xml:space="preserve">Zitiervorschlag: § 1 SächsKlimaFG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https://recht.nulegal.eu/gesetze/S%C3%A4chsKlimaFG/1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