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SächsKlassBVO (Sachsen) — Inkrafttreten</w:t>
      </w:r>
    </w:p>
    <w:p>
      <w:r>
        <w:rPr>
          <w:color w:val="555555"/>
          <w:sz w:val="18"/>
        </w:rPr>
        <w:t xml:space="preserve">Sächsische Klassenbildungsverordnung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1. August 2017 in Kraft.</w:t>
      </w:r>
    </w:p>
    <w:p>
      <w:r>
        <w:t xml:space="preserve">Dresden, den 7. Juli 2017</w:t>
      </w:r>
    </w:p>
    <w:p>
      <w:r>
        <w:t xml:space="preserve">Die Staatsministerin für Kultus</w:t>
      </w:r>
    </w:p>
    <w:p>
      <w:r>
        <w:t xml:space="preserve">In Vertretung</w:t>
      </w:r>
    </w:p>
    <w:p>
      <w:r>
        <w:t xml:space="preserve">Dr. Frank Pfeil</w:t>
      </w:r>
    </w:p>
    <w:p>
      <w:r>
        <w:t xml:space="preserve">Staatssekretär</w:t>
      </w:r>
    </w:p>
    <w:p>
      <w:r>
        <w:rPr>
          <w:color w:val="555555"/>
          <w:sz w:val="17"/>
        </w:rPr>
        <w:t xml:space="preserve">Zitiervorschlag: § 5 SächsKlassBVO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https://recht.nulegal.eu/gesetze/S%C3%A4chsKlassBVO/5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