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SächsKhilfVO (Sachsen)</w:t>
      </w:r>
    </w:p>
    <w:p>
      <w:r>
        <w:rPr>
          <w:color w:val="555555"/>
          <w:sz w:val="18"/>
        </w:rPr>
        <w:t xml:space="preserve">Sächsische Kommunikationshilfenverordnung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6 Abs. 2 des Gesetzes zur Verbesserung der Integration von Menschen mit Behinderungen im Freistaat Sachsen (Sächsisches Integrationsgesetz – SächsIntegrG ) vom 28. Mai 2004 (SächsGVBl. S. 196, 197), das durch Artikel 14 des Gesetzes vom 14. Juli 2005 (SächsGVBl. S. 167, 176) geändert worden ist, wird verordnet:</w:t>
      </w:r>
    </w:p>
    <w:p>
      <w:r>
        <w:rPr>
          <w:color w:val="555555"/>
          <w:sz w:val="17"/>
        </w:rPr>
        <w:t xml:space="preserve">Zitiervorschlag: Eingangsformel SächsKhilfVO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https://recht.nulegal.eu/gesetze/S%C3%A4chsKhilfVO/eingangsformel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SächsKhilfVO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