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SächsKatSVO (Sachsen) — Bereitschaftserklärung</w:t>
      </w:r>
    </w:p>
    <w:p>
      <w:r>
        <w:rPr>
          <w:color w:val="555555"/>
          <w:sz w:val="18"/>
        </w:rPr>
        <w:t xml:space="preserve">Sächsische Katastrophenschutzverordnung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Bereitschaftserklärung ist schriftlich abzugeben. Bei Leistungserbringern nach § 31 Abs. 1 Satz 2 SächsBRKG und Hilfsorganisationen, die auf Landesebene organisiert sind, ist sie von der Landesorganisation abzugeben.</w:t>
      </w:r>
    </w:p>
    <w:p>
      <w:r>
        <w:t xml:space="preserve">(2) Die Bereitschaftserklärung kann unter Einhaltung einer Frist von einem Jahr schriftlich gegenüber der obersten Brandschutz-, Rettungsdienst- und Katastrophenschutzbehörde widerrufen werden. Die Frist läuft nicht ab, solange Katastrophenvoralarm oder Katastrophenalarm ausgelöst ist.</w:t>
      </w:r>
    </w:p>
    <w:p>
      <w:r>
        <w:rPr>
          <w:color w:val="555555"/>
          <w:sz w:val="17"/>
        </w:rPr>
        <w:t xml:space="preserve">Zitiervorschlag: § 4 SächsKatSVO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https://recht.nulegal.eu/gesetze/S%C3%A4chsKatSVO/4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SächsKatSVO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