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SächsKappGrVO (Sachsen)</w:t>
      </w:r>
    </w:p>
    <w:p>
      <w:r>
        <w:rPr>
          <w:color w:val="555555"/>
          <w:sz w:val="18"/>
        </w:rPr>
        <w:t xml:space="preserve">Sächsische Kappungsgrenzen-Verordnung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558 Absatz 3 des Bürgerlichen Gesetzbuches in der Fassung der Bekanntmachung vom 2. Januar 2002 (BGBl. I S. 42, 2909; 2003 I S. 738), der durch Artikel 1 Nummer 7 Buchstabe b des Gesetzes vom 11. März 2013 (BGBl. I S. 434) eingefügt worden ist, verordnet die Staatsregierung:</w:t>
      </w:r>
    </w:p>
    <w:p>
      <w:r>
        <w:rPr>
          <w:color w:val="555555"/>
          <w:sz w:val="17"/>
        </w:rPr>
        <w:t xml:space="preserve">Zitiervorschlag: Eingangsformel SächsKappGrVO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https://recht.nulegal.eu/gesetze/S%C3%A4chsKappGrVO/eingangsformel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