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SächsKRegG (Sachsen)</w:t>
      </w:r>
    </w:p>
    <w:p>
      <w:r>
        <w:rPr>
          <w:color w:val="555555"/>
          <w:sz w:val="18"/>
        </w:rPr>
        <w:t xml:space="preserve">Sächsisches Krebsregistergesetz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Juni 2024 das folgende Gesetz beschlossen:</w:t>
      </w:r>
    </w:p>
    <w:p>
      <w:r>
        <w:rPr>
          <w:color w:val="555555"/>
          <w:sz w:val="17"/>
        </w:rPr>
        <w:t xml:space="preserve">Zitiervorschlag: Eingangsformel SächsKRegG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https://recht.nulegal.eu/gesetze/S%C3%A4chsKRegG/eingangsformel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