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SächsKRegG (Sachsen) — Nutzung bestehender Daten</w:t>
      </w:r>
    </w:p>
    <w:p>
      <w:r>
        <w:rPr>
          <w:color w:val="555555"/>
          <w:sz w:val="18"/>
        </w:rPr>
        <w:t xml:space="preserve">Sächsisches Krebsregistergesetz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Datenbestand der bisherigen klinischen Krebsregister des Freistaats Sachsen, einschließlich der vom ehemaligen Gemeinsamen Krebsregister der Länder Berlin, Brandenburg, Mecklenburg-Vorpommern, Sachsen-Anhalt und der Freistaaten Sachsen und Thüringen an diese übermittelten Daten aller Personen gemäß § 1 Absatz 2, wird auf das Krebsregister übertragen.</w:t>
      </w:r>
    </w:p>
    <w:p>
      <w:r>
        <w:t xml:space="preserve">(2) Die Gesamtheit dieser Datenbestände steht dem Krebsregister zur Aufgabenerfüllung nach diesem Gesetz zur Verfügung.</w:t>
      </w:r>
    </w:p>
    <w:p>
      <w:r>
        <w:rPr>
          <w:color w:val="555555"/>
          <w:sz w:val="17"/>
        </w:rPr>
        <w:t xml:space="preserve">Zitiervorschlag: § 8 SächsKRegG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https://recht.nulegal.eu/gesetze/S%C3%A4chsKRegG/8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SächsKRegG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