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SächsKRegG (Sachsen) — Aufgaben</w:t>
      </w:r>
    </w:p>
    <w:p>
      <w:r>
        <w:rPr>
          <w:color w:val="555555"/>
          <w:sz w:val="18"/>
        </w:rPr>
        <w:t xml:space="preserve">Sächsisches Krebsregistergesetz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Aufgaben der epidemiologischen Krebsregistrierung sind:</w:t>
      </w:r>
    </w:p>
    <w:p>
      <w:r>
        <w:t xml:space="preserve">1. der Melderegisterabgleich sowie der Abgleich der Todesbescheinigungen gemäß § 20,</w:t>
      </w:r>
    </w:p>
    <w:p>
      <w:r>
        <w:t xml:space="preserve">2. die Auswertung epidemiologischer Daten gemäß § 21 und</w:t>
      </w:r>
    </w:p>
    <w:p>
      <w:r>
        <w:t xml:space="preserve">3. der Datenaustausch mit dem Deutschen Kinderkrebsregister gemäß § 22.</w:t>
      </w:r>
    </w:p>
    <w:p>
      <w:r>
        <w:rPr>
          <w:color w:val="555555"/>
          <w:sz w:val="17"/>
        </w:rPr>
        <w:t xml:space="preserve">Zitiervorschlag: § 19 SächsKRegG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https://recht.nulegal.eu/gesetze/S%C3%A4chsKRegG/19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SächsKRegG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