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SächsKMVO (Sachsen)</w:t>
      </w:r>
    </w:p>
    <w:p>
      <w:r>
        <w:rPr>
          <w:color w:val="555555"/>
          <w:sz w:val="18"/>
        </w:rPr>
        <w:t xml:space="preserve">Sächsische Kampfmittelverordnung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32 Absatz 1 in Verbindung mit § 2 Absatz 1 und § 39 Absatz 1 des Sächsischen Polizeibehördengesetzes vom 11. Mai 2019 (SächsGVBl. S. 358, 389) verordnet das Staatsministerium des Innern:</w:t>
      </w:r>
    </w:p>
    <w:p>
      <w:r>
        <w:rPr>
          <w:color w:val="555555"/>
          <w:sz w:val="17"/>
        </w:rPr>
        <w:t xml:space="preserve">Zitiervorschlag: Eingangsformel SächsKMVO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https://recht.nulegal.eu/gesetze/S%C3%A4chsKMVO/eingangsformel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