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SächsKMVO (Sachsen) — Anzeigepflicht</w:t>
      </w:r>
    </w:p>
    <w:p>
      <w:r>
        <w:rPr>
          <w:color w:val="555555"/>
          <w:sz w:val="18"/>
        </w:rPr>
        <w:t xml:space="preserve">Sächsische Kampfmittelverordnung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Wer Kampfmittel entdeckt oder in Gewahrsam genommen hat, ist verpflichtet, dies unverzüglich der nächstgelegenen Ortspolizeibehörde oder Polizeidienststelle anzuzeigen.</w:t>
      </w:r>
    </w:p>
    <w:p>
      <w:r>
        <w:rPr>
          <w:color w:val="555555"/>
          <w:sz w:val="17"/>
        </w:rPr>
        <w:t xml:space="preserve">Zitiervorschlag: § 3 SächsKMVO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https://recht.nulegal.eu/gesetze/S%C3%A4chsKMVO/3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SächsKMVO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