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SächsKMVO (Sachsen) — Begriffsbestimmung</w:t>
      </w:r>
    </w:p>
    <w:p>
      <w:r>
        <w:rPr>
          <w:color w:val="555555"/>
          <w:sz w:val="18"/>
        </w:rPr>
        <w:t xml:space="preserve">Sächsische Kampfmittelverordnung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Kampfmittel sind gewahrsamslos gewordene Gegenstände militärischer Herkunft und Teile solcher Gegenstände, die Spreng-, Zünd-, Brand-, Nebel-, Reiz-, Rauch-, Leucht- oder Kampfstoffe enthalten oder aus ihnen bestehen.</w:t>
      </w:r>
    </w:p>
    <w:p>
      <w:r>
        <w:rPr>
          <w:color w:val="555555"/>
          <w:sz w:val="17"/>
        </w:rPr>
        <w:t xml:space="preserve">Zitiervorschlag: § 2 SächsKMVO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https://recht.nulegal.eu/gesetze/S%C3%A4chsKMVO/2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