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SächsKHG (Sachsen)</w:t>
      </w:r>
    </w:p>
    <w:p>
      <w:r>
        <w:rPr>
          <w:color w:val="555555"/>
          <w:sz w:val="18"/>
        </w:rPr>
        <w:t xml:space="preserve">Sächsisches Krankenhausgesetz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Sächsische Landtag hat am 15. Dezember 2022 das folgende Gesetz beschlossen:</w:t>
      </w:r>
    </w:p>
    <w:p>
      <w:r>
        <w:rPr>
          <w:color w:val="555555"/>
          <w:sz w:val="17"/>
        </w:rPr>
        <w:t xml:space="preserve">Zitiervorschlag: Eingangsformel SächsKHG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https://recht.nulegal.eu/gesetze/S%C3%A4chsKHG/eingangsformel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