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SächsKHG (Sachsen) — Aufgabe der Krankenhausplanung</w:t>
      </w:r>
    </w:p>
    <w:p>
      <w:r>
        <w:rPr>
          <w:color w:val="555555"/>
          <w:sz w:val="18"/>
        </w:rPr>
        <w:t xml:space="preserve">Sächsisches Krankenhausgesetz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zuständige Staatsministerium stellt einen Krankenhausplan für das Gebiet des Freistaates Sachsen gemäß § 6 des Krankenhausfinanzierungsgesetzes auf und schreibt ihn in der Regel im Dreijahresrhythmus fort. Der Krankenhausplan kann durch Fachprogramme, die besondere Teile des Krankenhausplanes sind, ergänzt werden.</w:t>
      </w:r>
    </w:p>
    <w:p>
      <w:r>
        <w:rPr>
          <w:color w:val="555555"/>
          <w:sz w:val="17"/>
        </w:rPr>
        <w:t xml:space="preserve">Zitiervorschlag: § 4 SächsKHG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https://recht.nulegal.eu/gesetze/S%C3%A4chsKHG/4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SächsKHG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