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SächsKHG (Sachsen) — Anwendungsbereich</w:t>
      </w:r>
    </w:p>
    <w:p>
      <w:r>
        <w:rPr>
          <w:color w:val="555555"/>
          <w:sz w:val="18"/>
        </w:rPr>
        <w:t xml:space="preserve">Sächsisches Krankenhausgesetz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Soweit nichts anderes bestimmt ist, gilt dieses Gesetz für alle Krankenhäuser im Freistaat Sachsen, die förderfähig sind nach § 8 Absatz 1 Satz 1 des Krankenhausfinanzierungsgesetzes in der Fassung der Bekanntmachung vom 10. April 1991 (BGBl. I S. 886), das zuletzt durch Artikel 3 des Gesetzes vom 7. November 2022 (BGBl. I S. 1990) geändert worden ist, in der jeweils geltenden Fassung.</w:t>
      </w:r>
    </w:p>
    <w:p>
      <w:r>
        <w:t xml:space="preserve">(2) Dieses Gesetz gilt mit Ausnahme des Abschnittes 3 und des § 23 auch für Universitätsklinika und deren klinische Einrichtungen, soweit sie der Versorgung der Bevölkerung dienen. Die Vorschriften des Universitätsklinika-Gesetzes vom 6. Mai 1999 (SächsGVBl. S. 207), das zuletzt durch Artikel 16 des Gesetzes vom 21. Mai 2021 (SächsGVBl. S. 578) geändert worden ist, bleiben unberührt.</w:t>
      </w:r>
    </w:p>
    <w:p>
      <w:r>
        <w:t xml:space="preserve">(3) § 23 Absatz 2 gilt nicht für Krankenhäuser, die von Religionsgemeinschaften oder diesen gleichgestellten oder zuzuordnenden Einrichtungen betrieben werden.</w:t>
      </w:r>
    </w:p>
    <w:p>
      <w:r>
        <w:t xml:space="preserve">(4) Die Abschnitte 1 bis 3 gelten mit Ausnahme von § 15 Absatz 1 und 4 bis 7 sowie der §§ 17 und 18 für die mit den Krankenhäusern notwendigerweise verbundenen Ausbildungsstätten im Sinne von § 2 Nummer 1a des Krankenhausfinanzierungsgesetzes entsprechend.</w:t>
      </w:r>
    </w:p>
    <w:p>
      <w:r>
        <w:rPr>
          <w:color w:val="555555"/>
          <w:sz w:val="17"/>
        </w:rPr>
        <w:t xml:space="preserve">Zitiervorschlag: § 2 SächsKHG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https://recht.nulegal.eu/gesetze/S%C3%A4chsKHG/2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