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SächsKCanVO (Sachsen) — Übertragung der Ermächtigung zum Erlass von Rechtsverordnungen</w:t>
      </w:r>
    </w:p>
    <w:p>
      <w:r>
        <w:rPr>
          <w:color w:val="555555"/>
          <w:sz w:val="18"/>
        </w:rPr>
        <w:t xml:space="preserve">Sächsische Konsumcannabisverordnung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der Staatsregierung durch § 33 Absatz 3 Satz 1 des Konsumcannabisgesetzes erteilte Ermächtigung zum Erlass einer Rechtsverordnung wird auf das Staatsministerium für Soziales und Gesellschaftlichen Zusammenhalt übertragen.</w:t>
      </w:r>
    </w:p>
    <w:p>
      <w:r>
        <w:rPr>
          <w:color w:val="555555"/>
          <w:sz w:val="17"/>
        </w:rPr>
        <w:t xml:space="preserve">Zitiervorschlag: § 2 SächsKCanVO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https://recht.nulegal.eu/gesetze/S%C3%A4chsKCanVO/2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