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SächsKAG (Sachsen) — Abschreibungen</w:t>
      </w:r>
    </w:p>
    <w:p>
      <w:r>
        <w:rPr>
          <w:color w:val="555555"/>
          <w:sz w:val="18"/>
        </w:rPr>
        <w:t xml:space="preserve">Sächsisches Kommunalabgabengesetz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Den Abschreibungen (§ 11 Absatz 2 Nummer 1) können die Wiederbeschaffungszeitwerte oder die Anschaffungs- und Herstellungskosten des Anlagevermögens zugrunde gelegt werden. Die Anlagewerte sind um Zuweisungen und Zuschüsse Dritter zu kürzen, soweit die Zuweisungen und Zuschüsse Dritter nicht zur Bildung von Eigenkapital gewährt worden sind (Kapitalzuschüsse).</w:t>
      </w:r>
    </w:p>
    <w:p>
      <w:r>
        <w:t xml:space="preserve">(2) Beiträge nach §§ 17 bis 25 sind Kapitalzuschüsse.</w:t>
      </w:r>
    </w:p>
    <w:p>
      <w:r>
        <w:t xml:space="preserve">(3) Anstelle der Kürzung der Anlagewerte nach Absatz 1 Satz 2 können die Zuweisungen und Zuschüsse Dritter, soweit sie nicht als Kapitalzuschüsse gewährt worden sind, als Ertragszuschüsse passiviert und jährlich mit einem durchschnittlichen Abschreibungssatz ertragswirksam aufgelöst werden. Soweit den Abschreibungen das Anlagevermögen zu Wiederbeschaffungszeitwerten zugrunde gelegt wird, sind bei der Ermittlung der Auflösungsraten aus den passivierten Ertragszuschüssen jeweils Werte zugrunde zu legen, die um einen Zuschlag erhöht sind, der sich aus einem amtlichen, einschlägigen oder vergleichbaren Baukostenindex ergibt.</w:t>
      </w:r>
    </w:p>
    <w:p>
      <w:r>
        <w:t xml:space="preserve">(4) Werden den Abschreibungen Wiederbeschaffungszeitwerte zugrunde gelegt (Absatz 1), so sind die sich daraus gegenüber einer Kalkulation mit Anschaffungs- und Herstellungskosten ergebenden Mehrerträge einem Sonderposten für den Gebührenausgleich für Investitionen der Einrichtung zuzuführen und bei ihrer Verwendung wie ein Ertragszuschuss zu behandeln.</w:t>
      </w:r>
    </w:p>
    <w:p>
      <w:r>
        <w:rPr>
          <w:color w:val="555555"/>
          <w:sz w:val="17"/>
        </w:rPr>
        <w:t xml:space="preserve">Zitiervorschlag: § 13 SächsKAG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https://recht.nulegal.eu/gesetze/S%C3%A4chsKAG/13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