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SächsJubVO (Sachsen) — Dienstzeit</w:t>
      </w:r>
    </w:p>
    <w:p>
      <w:r>
        <w:rPr>
          <w:color w:val="555555"/>
          <w:sz w:val="18"/>
        </w:rPr>
        <w:t xml:space="preserve">Sächsische Jubiläumszuwendungsverordnung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Dienstzeit werden berücksichtigt:</w:t>
      </w:r>
    </w:p>
    <w:p>
      <w:r>
        <w:t xml:space="preserve">1. die Zeiten einer hauptberuflichen Tätigkeit, einer Ausbildung und einer Tätigkeit als Ehrenbeamtin oder Ehrenbeamter bei einem öffentlich-rechtlichen Dienstherrn im Sinne von § 4 Absatz 1 des Sächsischen Besoldungsgesetzes vom 6. Juli 2023 (SächsGVBl. S. 467, 476), das zuletzt durch Artikel 4 des Gesetzes vom 31. Januar 2024 (SächsGVBl. S. 83) geändert worden ist, in der jeweils geltenden Fassung,</w:t>
      </w:r>
    </w:p>
    <w:p>
      <w:r>
        <w:t xml:space="preserve">2. die Zeiten einer dem Dienst bei einem öffentlich-rechtlichen Dienstherrn gleichgestellten hauptberuflichen Tätigkeit im Sinne von § 4 Absatz 2 des Sächsischen Besoldungsgesetzes und einer hauptberuflichen Tätigkeit im Dienst von öffentlich-rechtlichen Religionsgesellschaften und ihren Verbänden,</w:t>
      </w:r>
    </w:p>
    <w:p>
      <w:r>
        <w:t xml:space="preserve">3. die Zeiten in einem Amtsverhältnis als Datenschutzbeauftragte oder Datenschutzbeauftragter des Bundes oder eines Landes,</w:t>
      </w:r>
    </w:p>
    <w:p>
      <w:r>
        <w:t xml:space="preserve">4. die Zeiten der Mitgliedschaft in der Bundesregierung oder einer Landesregierung, einer Tätigkeit in der gesetzgebenden Körperschaft eines Landes, im Deutschen Bundestag oder im Europäischen Parlament,</w:t>
      </w:r>
    </w:p>
    <w:p>
      <w:r>
        <w:t xml:space="preserve">5. die Zeiten der Tätigkeit bei den Fraktionen in der gesetzgebenden Körperschaft eines Landes, im Deutschen Bundestag oder im Europäischen Parlament,</w:t>
      </w:r>
    </w:p>
    <w:p>
      <w:r>
        <w:t xml:space="preserve">6. die Zeiten eines Wehrdienstes oder eines Zivildienstes,</w:t>
      </w:r>
    </w:p>
    <w:p>
      <w:r>
        <w:t xml:space="preserve">7. die Zeiten einer Eignungsübung nach dem Eignungsübungsgesetz in der im Bundesgesetzblatt Teil III, Gliederungsnummer 53-5, veröffentlichten bereinigten Fassung, das zuletzt durch Artikel 15 Absatz 77 des Gesetzes vom 5. Februar 2009 (BGBl. I S. 160) geändert worden ist, in der jeweils geltenden Fassung,</w:t>
      </w:r>
    </w:p>
    <w:p>
      <w:r>
        <w:t xml:space="preserve">8. die Zeiten einer Beurlaubung ohne Dienstbezüge, die infolge schriftlicher Anerkennung durch die oberste Dienstbehörde oder die von ihr bestimmte Stelle dienstlichen Interessen oder öffentlichen Belangen dient,</w:t>
      </w:r>
    </w:p>
    <w:p>
      <w:r>
        <w:t xml:space="preserve">9. Zeiten einer tatsächlichen Kinderbetreuung oder tatsächlichen Pflege von nahen Angehörigen im Sinne von § 7 Absatz 3 und 4 des Pflegezeitgesetzes vom 28. Mai 2008 (BGBl. I S. 874, 896), das zuletzt durch Artikel 7 des Gesetzes vom 21. Dezember 2015 (BGBl. I S. 2424) geändert worden ist, in der jeweils geltenden Fassung, von bis zu drei Jahren für jedes Kind, jede nahe Angehörige oder jeden nahen Angehörigen, wenn eine Tätigkeit nach den Nummern 1 bis 8 nach dem für das zugrunde liegende Dienstverhältnis geltenden Recht unterbrochen ist, und</w:t>
      </w:r>
    </w:p>
    <w:p>
      <w:r>
        <w:t xml:space="preserve">10. Zeiten einer Verfolgung nach dem Beruflichen Rehabilitierungsgesetz in der Fassung der Bekanntmachung vom 1. Juli 1997 (BGBl. I S. 1625), das zuletzt durch Artikel 11 des Gesetzes vom 20. November 2015 (BGBl. I S. 2010) geändert worden ist, in der jeweils geltenden Fassung, soweit eine Erwerbstätigkeit, die einem Dienst bei einem öffentlich-rechtlichen Dienstherrn entspricht, nicht ausgeübt werden konnte.</w:t>
      </w:r>
    </w:p>
    <w:p>
      <w:r>
        <w:t xml:space="preserve">(2) Die Zeiten nach Absatz 1 können vor oder nach Beginn des Beamtenverhältnisses absolviert worden sein. Derselbe Zeitraum wird nur einmal berücksichtigt. Zeiten einer Teilzeitbeschäftigung werden wie Zeiten einer Vollzeitbeschäftigung berücksichtigt.</w:t>
      </w:r>
    </w:p>
    <w:p>
      <w:r>
        <w:t xml:space="preserve">(3) Bei der Ermittlung der maßgeblichen Dienstzeit ist § 27 des Sächsischen Besoldungsgesetzes entsprechend anzuwenden.</w:t>
      </w:r>
    </w:p>
    <w:p>
      <w:r>
        <w:rPr>
          <w:color w:val="555555"/>
          <w:sz w:val="17"/>
        </w:rPr>
        <w:t xml:space="preserve">Zitiervorschlag: § 2 SächsJubVO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https://recht.nulegal.eu/gesetze/S%C3%A4chsJubVO/2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