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SächsJagdVO (Sachsen) — Weitere dem Jagdrecht unterliegende Tierarten</w:t>
      </w:r>
    </w:p>
    <w:p>
      <w:r>
        <w:rPr>
          <w:color w:val="555555"/>
          <w:sz w:val="18"/>
        </w:rPr>
        <w:t xml:space="preserve">Sächsische Jagdverordnung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Dem Jagdrecht unterliegen über § 2 Abs. 2 des Bundesjagdgesetzes in der Fassung der Bekanntmachung vom 29. September 1976 (BGBl. I S. 2849), das zuletzt durch Artikel 3 des Gesetzes vom 8. September 2017 (BGBl. I S. 3370) geändert worden ist, in der jeweils geltenden Fassung, Marderhunde (Nyctereutes procyonoides), Minke (Neovison vison), Sumpfbiber (Myocastor coypus), Waschbären (Procyon lotor), Wölfe (Canis lupus), Eichelhäher (Garrulus glandarius), Elstern (Pica pica), Nebelkrähen (Corvus corone cornix), Nilgänse (Alopochen aegyptiacus) und Rabenkrähen (Corvus corone corone). § 22 Absatz 2 des Sächsischen Jagdgesetzes findet auf Wölfe keine Anwendung.</w:t>
      </w:r>
    </w:p>
    <w:p>
      <w:r>
        <w:rPr>
          <w:color w:val="555555"/>
          <w:sz w:val="17"/>
        </w:rPr>
        <w:t xml:space="preserve">Zitiervorschlag: § 3 SächsJagdVO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https://recht.nulegal.eu/gesetze/S%C3%A4chsJagdVO/3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SächsJagdVO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