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SächsJagdG (Sachsen)</w:t>
      </w:r>
    </w:p>
    <w:p>
      <w:r>
        <w:rPr>
          <w:color w:val="555555"/>
          <w:sz w:val="18"/>
        </w:rPr>
        <w:t xml:space="preserve">Sächsisches Jagdgesetz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Juni 2012</w:t>
      </w:r>
    </w:p>
    <w:p>
      <w:r>
        <w:rPr>
          <w:color w:val="555555"/>
          <w:sz w:val="17"/>
        </w:rPr>
        <w:t xml:space="preserve">Zitiervorschlag: Eingangsformel SächsJagdG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https://recht.nulegal.eu/gesetze/S%C3%A4chsJagdG/eingangsformel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