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SächsJagdG (Sachsen) — Übergangsvorschriften</w:t>
      </w:r>
    </w:p>
    <w:p>
      <w:r>
        <w:rPr>
          <w:color w:val="555555"/>
          <w:sz w:val="18"/>
        </w:rPr>
        <w:t xml:space="preserve">Sächsisches Jagdgesetz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zum Zeitpunkt des Inkrafttretens dieses Gesetzes laufenden Jagdpachtverträgen ist die Abschusshöhe für Rehwild zwischen dem Verpächter und dem Jagdausübungsberechtigten einvernehmlich festzulegen, soweit die Vertragsparteien keine abweichende Regelung treffen.</w:t>
      </w:r>
    </w:p>
    <w:p>
      <w:r>
        <w:t xml:space="preserve">(2) Bestehende Abschusspläne sind bis zum 31. März 2013 nach den zum Zeitpunkt des Inkrafttretens dieses Gesetzes geltenden Vorschriften zu erfüllen.</w:t>
      </w:r>
    </w:p>
    <w:p>
      <w:r>
        <w:t xml:space="preserve">(3) Die Bestellung zum Jagdbeirat an der oberen Jagdbehörde endet mit Inkrafttreten dieses Gesetzes.</w:t>
      </w:r>
    </w:p>
    <w:p>
      <w:r>
        <w:t xml:space="preserve">(4) Auf Angliederungsgenossenschaften sind bis zu ihrer Auflösung die zum Zeitpunkt des Inkrafttretens dieses Gesetzes geltenden Vorschriften anzuwenden.</w:t>
      </w:r>
    </w:p>
    <w:p>
      <w:r>
        <w:rPr>
          <w:color w:val="555555"/>
          <w:sz w:val="17"/>
        </w:rPr>
        <w:t xml:space="preserve">Zitiervorschlag: § 39 SächsJagdG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https://recht.nulegal.eu/gesetze/S%C3%A4chsJagdG/39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