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13 SächsJagdG (Sachsen) — Jagdpacht und Jagdpächter (zu §§ 11 und 12 Bundesjagdgesetz)</w:t>
      </w:r>
    </w:p>
    <w:p>
      <w:r>
        <w:rPr>
          <w:color w:val="555555"/>
          <w:sz w:val="18"/>
        </w:rPr>
        <w:t xml:space="preserve">Sächsisches Jagdgesetz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Volljährige Jahresjagdscheininhaber sind abweichend von § 11 Abs. 5 Satz 1 des Bundesjagdgesetzes ohne vorausgehenden Besitz eines Jahresjagdscheins jagdpachtfähig.</w:t>
      </w:r>
    </w:p>
    <w:p>
      <w:r>
        <w:t xml:space="preserve">(2) § 9 Abs. 1 gilt bei mehreren Jagdpächtern entsprechend.</w:t>
      </w:r>
    </w:p>
    <w:p>
      <w:r>
        <w:rPr>
          <w:color w:val="555555"/>
          <w:sz w:val="17"/>
        </w:rPr>
        <w:t xml:space="preserve">Zitiervorschlag: § 13 SächsJagdG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https://recht.nulegal.eu/gesetze/S%C3%A4chsJagdG/13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