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5c SächsJOrgVO (Sachsen) — Übertragung von Rechtspflegeraufgaben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nachfolgend aufgeführten, der Staatsanwaltschaft als Vollstreckungsbehörde in Straf- und Bußgeldsachen obliegenden Geschäfte der Vollstreckung von Geldstrafen und Geldbußen, mit Ausnahme der Vollstreckung von Ersatzfreiheitsstrafen, werden auf die Urkundsbeamtin oder den Urkundsbeamten der Geschäftsstelle übertragen:</w:t>
      </w:r>
    </w:p>
    <w:p>
      <w:r>
        <w:t xml:space="preserve">1. die Anordnung von Ermittlungsmaßnahmen hinsichtlich des Aufenthalts der oder des Verurteilten, der Bußgeldschuldnerin oder des Bußgeldschuldners,</w:t>
      </w:r>
    </w:p>
    <w:p>
      <w:r>
        <w:t xml:space="preserve">2. die Anordnung der Einholung einer Erklärung und entsprechender Belege über die persönlichen und wirtschaftlichen Verhältnisse der oder des Verurteilten, der Bußgeldschuldnerin oder des Bußgeldschuldners,</w:t>
      </w:r>
    </w:p>
    <w:p>
      <w:r>
        <w:t xml:space="preserve">3. die Bewilligung von Ratenzahlungen für die Dauer von bis zu einem Jahr,</w:t>
      </w:r>
    </w:p>
    <w:p>
      <w:r>
        <w:t xml:space="preserve">4. die Entscheidung über die einmalige Verschiebung von Fälligkeitsterminen einer bewilligten Ratenzahlung um bis zu sechs Wochen; dies gilt auch, wenn für die Bewilligung die Rechtspflegerin oder der Rechtspfleger zuständig war,</w:t>
      </w:r>
    </w:p>
    <w:p>
      <w:r>
        <w:t xml:space="preserve">5. die Entscheidung über den Widerruf von Zahlungserleichterungen bei Nichteinhaltung der im Rahmen der Zahlungserleichterung erteilten Auflagen; dies gilt auch, wenn für die Bewilligung die Rechtspflegerin oder der Rechtspfleger zuständig war.</w:t>
      </w:r>
    </w:p>
    <w:p>
      <w:r>
        <w:rPr>
          <w:color w:val="555555"/>
          <w:sz w:val="17"/>
        </w:rPr>
        <w:t xml:space="preserve">Zitiervorschlag: § 5c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https://recht.nulegal.eu/gesetze/S%C3%A4chsJOrgVO/5c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