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SächsJOrgVO (Sachsen) — Kollision und Mehrheit von Sonderzuständigkeiten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Würde die Anwendung der §§ 22 und 23 dieser Verordnung zur Zuständigkeit verschiedener Gerichte für dieselbe Strafsache führen, ist ein Gerichtsstand bei jedem dieser Gerichte begründet.</w:t>
      </w:r>
    </w:p>
    <w:p>
      <w:r>
        <w:t xml:space="preserve">(2) Besteht in den Fällen der §§ 22 und 23 zwischen mehreren Strafsachen ein Zusammenhang im Sinne des § 3 der Strafprozessordnung und würde die Anwendung jener Vorschriften zur Zuständigkeit verschiedener Gerichte für einzelne dieser Strafsachen führen, gilt § 13 der Strafprozessordnung entsprechend.</w:t>
      </w:r>
    </w:p>
    <w:p>
      <w:r>
        <w:rPr>
          <w:color w:val="555555"/>
          <w:sz w:val="17"/>
        </w:rPr>
        <w:t xml:space="preserve">Zitiervorschlag: § 24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