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SächsJOrgVO (Sachsen) — Wirtschaftsstrafsachen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das Amtsgericht im vorbereitenden Verfahren oder im Hauptverfahren sachlich zuständig ist, obliegt die Entscheidung in Wirtschaftsstrafsachen nach § 74c Absatz 1 des Gerichtsverfassungsgesetzes , ausgenommen die dort in Nummer 4 genannten, sowie über Steuerstraftaten gleichgestellte Taten und Ordnungswidrigkeiten, für die die Finanzbehörde nach § 36 Absatz 1 Nummer 1 des Gesetzes über Ordnungswidrigkeiten sachlich zuständige Verwaltungsbehörde ist:</w:t>
      </w:r>
    </w:p>
    <w:p>
      <w:r>
        <w:t xml:space="preserve">1. dem Amtsgericht Chemnitz für die Bezirke der Landgerichte Chemnitz und Zwickau;</w:t>
      </w:r>
    </w:p>
    <w:p>
      <w:r>
        <w:t xml:space="preserve">2. dem Amtsgericht Dresden für den Bezirk des Landgerichts Dresden;</w:t>
      </w:r>
    </w:p>
    <w:p>
      <w:r>
        <w:t xml:space="preserve">3. dem Amtsgericht Görlitz für den Bezirk des Landgerichts Görlitz;</w:t>
      </w:r>
    </w:p>
    <w:p>
      <w:r>
        <w:t xml:space="preserve">4. dem Amtsgericht Leipzig für den Bezirk des Landgerichts Leipzig.</w:t>
      </w:r>
    </w:p>
    <w:p>
      <w:r>
        <w:t xml:space="preserve">(2) Soweit für die in Absatz 1 bezeichneten Strafsachen das Landgericht nach § 74 Absatz 1 des Gerichtsverfassungsgesetzes sachlich zuständig ist, obliegt dem Landgericht Chemnitz die Entscheidung für die Bezirke der Landgerichte Chemnitz und Zwickau.</w:t>
      </w:r>
    </w:p>
    <w:p>
      <w:r>
        <w:rPr>
          <w:color w:val="555555"/>
          <w:sz w:val="17"/>
        </w:rPr>
        <w:t xml:space="preserve">Zitiervorschlag: § 23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