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21a SächsJOrgVO (Sachsen) — Haftentscheidungen und Durchsuchungsanordnungen im Asyl- und Aufenthaltsrecht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gerichtliche Verfahren bei Freiheitsentziehungen nach § 14a Absatz 2, § 15b Absatz 2 sowie den §§ 62 und 62b, jeweils in Verbindung mit § 106 Absatz 2 des Aufenthaltsgesetzes , nach den §§ 69 und 70b, jeweils in Verbindung mit § 89 Absatz 2 des Asylgesetzes , sowie nach Artikel 44 der Verordnung (EU) 2024/1351 ist das Amtsgericht Dresden für den Bezirk des Oberlandesgerichts Dresden zuständig.</w:t>
      </w:r>
    </w:p>
    <w:p>
      <w:r>
        <w:t xml:space="preserve">(2) Für richterliche Durchsuchungsanordnungen nach § 48 Absatz 3 Satz 3 und § 58 Absatz 8 des Aufenthaltsgesetzes ist das Amtsgericht Dresden für den Bezirk des Oberlandesgerichts Dresden zuständig.</w:t>
      </w:r>
    </w:p>
    <w:p>
      <w:r>
        <w:rPr>
          <w:color w:val="555555"/>
          <w:sz w:val="17"/>
        </w:rPr>
        <w:t xml:space="preserve">Zitiervorschlag: § 21a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https://recht.nulegal.eu/gesetze/S%C3%A4chsJOrgVO/21a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