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SächsJOrgVO (Sachsen) — Baulandsachen</w:t>
      </w:r>
    </w:p>
    <w:p>
      <w:r>
        <w:rPr>
          <w:color w:val="555555"/>
          <w:sz w:val="18"/>
        </w:rPr>
        <w:t xml:space="preserve">Sächsische Justizorganisationsverordnung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Für Verhandlungen und Entscheidungen über Anträge auf gerichtliche Entscheidung in Verfahren vor den Kammern für Baulandsachen (§§ 217 ff. des Baugesetzbuchs ) ist das Landgericht Chemnitz für den Bezirk des Oberlandesgerichts Dresden zuständig.</w:t>
      </w:r>
    </w:p>
    <w:p>
      <w:r>
        <w:rPr>
          <w:color w:val="555555"/>
          <w:sz w:val="17"/>
        </w:rPr>
        <w:t xml:space="preserve">Zitiervorschlag: § 20 SächsJOrgVO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https://recht.nulegal.eu/gesetze/S%C3%A4chsJOrgVO/20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